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p8vl6ujb67v3" w:id="0"/>
      <w:bookmarkEnd w:id="0"/>
      <w:r w:rsidDel="00000000" w:rsidR="00000000" w:rsidRPr="00000000">
        <w:rPr>
          <w:rtl w:val="0"/>
        </w:rPr>
        <w:t xml:space="preserve">Semáforo</w:t>
      </w:r>
    </w:p>
    <w:p w:rsidR="00000000" w:rsidDel="00000000" w:rsidP="00000000" w:rsidRDefault="00000000" w:rsidRPr="00000000" w14:paraId="00000002">
      <w:pPr>
        <w:rPr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Semáforo Alapont Global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, ideal para instalaciones de muelle de carga.</w:t>
      </w: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tecnología led. Dispone de dos soportes para orientar el semáforo en un rango de 200º.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