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wtwfq7ox24fs" w:id="0"/>
      <w:bookmarkEnd w:id="0"/>
      <w:hyperlink r:id="rId6">
        <w:r w:rsidDel="00000000" w:rsidR="00000000" w:rsidRPr="00000000">
          <w:rPr>
            <w:rtl w:val="0"/>
          </w:rPr>
          <w:t xml:space="preserve">Feux de quai</w:t>
        </w:r>
      </w:hyperlink>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sz w:val="24"/>
          <w:szCs w:val="24"/>
          <w:rtl w:val="0"/>
        </w:rPr>
        <w:t xml:space="preserve">Feux de quai Alapont Global, idéal pour les installations de quais de chargement. Équipé de la technologie LED. Il dispose de deux supports permettant d'orienter le feu dans un angle de 200°.</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lapontlogistics.com/download/197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