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rPr>
          <w:b w:val="1"/>
          <w:bCs w:val="1"/>
        </w:rPr>
      </w:pPr>
      <w:bookmarkStart w:colFirst="0" w:colLast="0" w:name="_cszjupdz704p" w:id="0"/>
      <w:bookmarkEnd w:id="0"/>
      <w:r w:rsidDel="00000000" w:rsidR="00000000" w:rsidRPr="00000000">
        <w:rPr>
          <w:b w:val="1"/>
          <w:bCs w:val="1"/>
          <w:rtl w:val="0"/>
        </w:rPr>
        <w:t xml:space="preserve">Traffic light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Alapont Global traffic light, ideal for loading bay installations. Features LED technology. It has two brackets for adjusting the traffic light’s angle within a 200° range.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