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/>
      </w:pPr>
      <w:bookmarkStart w:colFirst="0" w:colLast="0" w:name="_hxktayct869w" w:id="0"/>
      <w:bookmarkEnd w:id="0"/>
      <w:r w:rsidDel="00000000" w:rsidR="00000000" w:rsidRPr="00000000">
        <w:rPr>
          <w:rtl w:val="0"/>
        </w:rPr>
        <w:t xml:space="preserve">Sas d’étanchéité rétractable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Sas d’étanchéité rétractable Alapont Global, aux dimensions 3 400 x 3 400 mm. D'une hauteur de 3 400 mm et d'une profondeur avant de 600 mm. La largeur des bâches latérales est de 600 mm et celle de la bâche supérieure de 1 000 mm. L'épaisseur des parties avant est de 3 mm. La hauteur adaptée au montage sur le camion est de 500 mm. Réalisation des bâches en 3 000 g/m². Couleur standard : noir.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