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k2w7tudwr1t9" w:id="0"/>
      <w:bookmarkEnd w:id="0"/>
      <w:r w:rsidDel="00000000" w:rsidR="00000000" w:rsidRPr="00000000">
        <w:rPr>
          <w:rtl w:val="0"/>
        </w:rPr>
        <w:t xml:space="preserve">Sas d’étanchéité en mousse</w:t>
      </w:r>
    </w:p>
    <w:p w:rsidR="00000000" w:rsidDel="00000000" w:rsidP="00000000" w:rsidRDefault="00000000" w:rsidRPr="00000000" w14:paraId="00000002">
      <w:pPr>
        <w:rPr/>
      </w:pPr>
      <w:r w:rsidDel="00000000" w:rsidR="00000000" w:rsidRPr="00000000">
        <w:rPr>
          <w:rtl w:val="0"/>
        </w:rPr>
        <w:t xml:space="preserve">Sas d’étanchéité en mousse</w:t>
      </w:r>
      <w:r w:rsidDel="00000000" w:rsidR="00000000" w:rsidRPr="00000000">
        <w:rPr>
          <w:sz w:val="32"/>
          <w:szCs w:val="32"/>
          <w:rtl w:val="0"/>
        </w:rPr>
        <w:t xml:space="preserve"> </w:t>
      </w:r>
      <w:r w:rsidDel="00000000" w:rsidR="00000000" w:rsidRPr="00000000">
        <w:rPr>
          <w:rtl w:val="0"/>
        </w:rPr>
        <w:t xml:space="preserve">Alapont Global, aux dimensions latérales de 3000 x 300 x 300 mm et au linteau de 2800 x 300 x 300 mm. Il améliore l'efficacité énergétique et la sécurité lors des opérations de chargement et de déchargement dans les entrepôts frigorifiques. Doté d'un joint thermique et physique qui réduit les transferts d'air et de température entre les environnements intérieurs et extérieurs. En PVC noir avec mousse, renforcé par une structure fixe. Couleur standard : noir.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